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EDB" w:rsidRPr="003C1CE3" w:rsidRDefault="00194EDB" w:rsidP="00194EDB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+++ indicates that the cells completely failed to grow on YPDA plus FK506 plates. </w:t>
      </w:r>
    </w:p>
    <w:p w:rsidR="00194EDB" w:rsidRPr="003C1CE3" w:rsidRDefault="00194EDB" w:rsidP="00194EDB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>++ indicates that tiny colonies were observed to grow on YPDA plus FK506 plates.</w:t>
      </w:r>
    </w:p>
    <w:p w:rsidR="00194EDB" w:rsidRPr="003C1CE3" w:rsidRDefault="00194EDB" w:rsidP="00194EDB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+ indicates that colonies were observed on YPDA plus FK506 plates, however, the size of the </w:t>
      </w:r>
      <w:r w:rsidRPr="003C1CE3">
        <w:rPr>
          <w:rFonts w:ascii="Times New Roman" w:hAnsi="Times New Roman"/>
          <w:sz w:val="20"/>
          <w:szCs w:val="20"/>
        </w:rPr>
        <w:t>colon</w:t>
      </w:r>
      <w:r w:rsidRPr="003C1CE3">
        <w:rPr>
          <w:rFonts w:ascii="Times New Roman" w:hAnsi="Times New Roman" w:hint="eastAsia"/>
          <w:sz w:val="20"/>
          <w:szCs w:val="20"/>
        </w:rPr>
        <w:t>ies</w:t>
      </w:r>
      <w:r w:rsidRPr="003C1CE3">
        <w:rPr>
          <w:rFonts w:ascii="Times New Roman" w:hAnsi="Times New Roman"/>
          <w:sz w:val="20"/>
          <w:szCs w:val="20"/>
        </w:rPr>
        <w:t xml:space="preserve"> </w:t>
      </w:r>
      <w:r w:rsidRPr="003C1CE3">
        <w:rPr>
          <w:rFonts w:ascii="Times New Roman" w:hAnsi="Times New Roman" w:hint="eastAsia"/>
          <w:sz w:val="20"/>
          <w:szCs w:val="20"/>
        </w:rPr>
        <w:t>were</w: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 significantly smaller than that of the wild-type cells.</w:t>
      </w:r>
    </w:p>
    <w:p w:rsidR="00194EDB" w:rsidRPr="003C1CE3" w:rsidRDefault="00194EDB" w:rsidP="00194EDB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fldChar w:fldCharType="begin"/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instrText xml:space="preserve"> </w:instrText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instrText>eq \o\ac(</w:instrText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instrText>○</w:instrText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instrText>,</w:instrText>
      </w:r>
      <w:r w:rsidRPr="003C1CE3">
        <w:rPr>
          <w:rStyle w:val="a7"/>
          <w:rFonts w:ascii="Times New Roman" w:hAnsi="Times New Roman" w:hint="eastAsia"/>
          <w:b w:val="0"/>
          <w:bCs w:val="0"/>
          <w:position w:val="2"/>
          <w:sz w:val="14"/>
          <w:szCs w:val="20"/>
          <w:shd w:val="clear" w:color="auto" w:fill="FFFFFF"/>
        </w:rPr>
        <w:instrText>1</w:instrText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instrText>)</w:instrTex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fldChar w:fldCharType="end"/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t xml:space="preserve"> </w: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indicates that the naming of genes is after the </w:t>
      </w:r>
      <w:r w:rsidRPr="003C1CE3">
        <w:rPr>
          <w:rStyle w:val="a7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 xml:space="preserve">S. </w:t>
      </w:r>
      <w:proofErr w:type="spellStart"/>
      <w:r w:rsidRPr="003C1CE3">
        <w:rPr>
          <w:rStyle w:val="a7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>cerevisiae</w:t>
      </w:r>
      <w:proofErr w:type="spellEnd"/>
      <w:r w:rsidRPr="003C1CE3">
        <w:rPr>
          <w:rStyle w:val="a7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 xml:space="preserve"> </w: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counterparts as the common name in </w:t>
      </w:r>
      <w:r w:rsidRPr="003C1CE3">
        <w:rPr>
          <w:rStyle w:val="a7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 xml:space="preserve">S. </w:t>
      </w:r>
      <w:proofErr w:type="spellStart"/>
      <w:r w:rsidRPr="003C1CE3">
        <w:rPr>
          <w:rStyle w:val="a7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>pombe</w:t>
      </w:r>
      <w:proofErr w:type="spellEnd"/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 is not available.</w:t>
      </w:r>
    </w:p>
    <w:p w:rsidR="00194EDB" w:rsidRPr="003C1CE3" w:rsidRDefault="00194EDB" w:rsidP="00194EDB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t xml:space="preserve">N/A indicates that </w: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common gene name </w:t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t xml:space="preserve">is not </w: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>applicable</w:t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t>.</w:t>
      </w:r>
    </w:p>
    <w:p w:rsidR="00194EDB" w:rsidRPr="003C1CE3" w:rsidRDefault="00194EDB" w:rsidP="00194EDB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Fonts w:ascii="Times New Roman" w:hAnsi="Times New Roman"/>
          <w:kern w:val="0"/>
          <w:sz w:val="24"/>
        </w:rPr>
        <w:t>*</w: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 indicates </w:t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t>poor growth on YPDA plates.</w:t>
      </w:r>
    </w:p>
    <w:p w:rsidR="00194EDB" w:rsidRPr="00194EDB" w:rsidRDefault="00194EDB" w:rsidP="009D191A">
      <w:pPr>
        <w:rPr>
          <w:rStyle w:val="a7"/>
          <w:rFonts w:ascii="Times New Roman" w:hAnsi="Times New Roman" w:hint="eastAsia"/>
          <w:bCs w:val="0"/>
          <w:sz w:val="20"/>
          <w:szCs w:val="20"/>
          <w:shd w:val="clear" w:color="auto" w:fill="FFFFFF"/>
        </w:rPr>
      </w:pPr>
      <w:bookmarkStart w:id="0" w:name="_GoBack"/>
      <w:bookmarkEnd w:id="0"/>
    </w:p>
    <w:p w:rsidR="00194EDB" w:rsidRDefault="00194EDB" w:rsidP="009D191A">
      <w:pPr>
        <w:rPr>
          <w:rStyle w:val="a7"/>
          <w:rFonts w:ascii="Times New Roman" w:hAnsi="Times New Roman" w:hint="eastAsia"/>
          <w:bCs w:val="0"/>
          <w:sz w:val="20"/>
          <w:szCs w:val="20"/>
          <w:shd w:val="clear" w:color="auto" w:fill="FFFFFF"/>
        </w:rPr>
      </w:pPr>
    </w:p>
    <w:p w:rsidR="009D191A" w:rsidRPr="003C1CE3" w:rsidRDefault="009D191A" w:rsidP="009D191A">
      <w:pPr>
        <w:rPr>
          <w:rStyle w:val="a7"/>
          <w:rFonts w:ascii="Times New Roman" w:hAnsi="Times New Roman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/>
          <w:bCs w:val="0"/>
          <w:sz w:val="20"/>
          <w:szCs w:val="20"/>
          <w:shd w:val="clear" w:color="auto" w:fill="FFFFFF"/>
        </w:rPr>
        <w:t xml:space="preserve">Table </w:t>
      </w:r>
      <w:proofErr w:type="gramStart"/>
      <w:r>
        <w:rPr>
          <w:rStyle w:val="a7"/>
          <w:rFonts w:ascii="Times New Roman" w:hAnsi="Times New Roman" w:hint="eastAsia"/>
          <w:bCs w:val="0"/>
          <w:sz w:val="20"/>
          <w:szCs w:val="20"/>
          <w:shd w:val="clear" w:color="auto" w:fill="FFFFFF"/>
        </w:rPr>
        <w:t>S</w:t>
      </w:r>
      <w:r w:rsidRPr="003C1CE3">
        <w:rPr>
          <w:rStyle w:val="a7"/>
          <w:rFonts w:ascii="Times New Roman" w:hAnsi="Times New Roman"/>
          <w:bCs w:val="0"/>
          <w:sz w:val="20"/>
          <w:szCs w:val="20"/>
          <w:shd w:val="clear" w:color="auto" w:fill="FFFFFF"/>
        </w:rPr>
        <w:t>1  Summary</w:t>
      </w:r>
      <w:proofErr w:type="gramEnd"/>
      <w:r w:rsidRPr="003C1CE3">
        <w:rPr>
          <w:rStyle w:val="a7"/>
          <w:rFonts w:ascii="Times New Roman" w:hAnsi="Times New Roman"/>
          <w:bCs w:val="0"/>
          <w:sz w:val="20"/>
          <w:szCs w:val="20"/>
          <w:shd w:val="clear" w:color="auto" w:fill="FFFFFF"/>
        </w:rPr>
        <w:t xml:space="preserve"> of the gene name and products of FK506-sensitive </w:t>
      </w:r>
      <w:r w:rsidR="00080773">
        <w:rPr>
          <w:rStyle w:val="a7"/>
          <w:rFonts w:ascii="Times New Roman" w:hAnsi="Times New Roman" w:hint="eastAsia"/>
          <w:bCs w:val="0"/>
          <w:sz w:val="20"/>
          <w:szCs w:val="20"/>
          <w:shd w:val="clear" w:color="auto" w:fill="FFFFFF"/>
        </w:rPr>
        <w:t>m</w:t>
      </w:r>
      <w:r w:rsidRPr="003C1CE3">
        <w:rPr>
          <w:rStyle w:val="a7"/>
          <w:rFonts w:ascii="Times New Roman" w:hAnsi="Times New Roman"/>
          <w:bCs w:val="0"/>
          <w:sz w:val="20"/>
          <w:szCs w:val="20"/>
          <w:shd w:val="clear" w:color="auto" w:fill="FFFFFF"/>
        </w:rPr>
        <w:t>utants</w:t>
      </w:r>
    </w:p>
    <w:tbl>
      <w:tblPr>
        <w:tblpPr w:leftFromText="142" w:rightFromText="142" w:vertAnchor="text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134"/>
        <w:gridCol w:w="34"/>
        <w:gridCol w:w="3935"/>
      </w:tblGrid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>Function c</w:t>
            </w: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ategory/</w:t>
            </w:r>
          </w:p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FK506 </w:t>
            </w:r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>s</w:t>
            </w: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ensitivity 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Systematic Name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Gene Name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Product</w:t>
            </w:r>
          </w:p>
        </w:tc>
      </w:tr>
      <w:tr w:rsidR="009D191A" w:rsidRPr="003C1CE3" w:rsidTr="00847692">
        <w:tc>
          <w:tcPr>
            <w:tcW w:w="8613" w:type="dxa"/>
            <w:gridSpan w:val="5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Membrane trafficking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SPAC1527.02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sft2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Golgi transport protein Sft2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SPBP16F5.07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apm1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AP-1 adaptor complex subunit Apm1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SPAC4C5.02c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ryh1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GTPase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Ryh1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SPBC530.01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gyp1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GTPase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activating protein Gyp1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SPAC688.11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end4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Huntingtin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-interacting protein homolog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SPBC146.13c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myo1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myosin type I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SPAC2G11.03c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vps45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vacuolar sorting protein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Vps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45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SPBC16C6.02c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vps1302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chorein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homolog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SPBC25H2.16c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gga1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adaptin</w:t>
            </w:r>
            <w:proofErr w:type="spellEnd"/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SPAC30D11.05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aps3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AP-3 adaptor complex subunit Aps3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SPCP1E11.06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apl4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AP-1 adaptor complex gamma subunit Apl4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SPAC2C4.05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erv15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cornichon family protein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SPAC17A5.08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erp2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COPII-coated vesicle component Erp2/3/4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SPAC23H3.06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apl6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AP-3 adaptor complex subunit Apl6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SPAC4G8.10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gos1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SNARE Gos1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SPBC29A3.05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vps71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chromatin remodeling complex subunit</w:t>
            </w:r>
          </w:p>
        </w:tc>
      </w:tr>
      <w:tr w:rsidR="009D191A" w:rsidRPr="003C1CE3" w:rsidTr="00847692">
        <w:tc>
          <w:tcPr>
            <w:tcW w:w="8613" w:type="dxa"/>
            <w:gridSpan w:val="5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>S</w:t>
            </w: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ignal transduction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SPBC1773.01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far8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striatin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homolog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SPCC188.02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par1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protein phosphatase regulatory subunit Par1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SPAC1851.03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ckb1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CK2 family regulatory subunit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SPBC23G7.08c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rga7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GTPase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activating protein Rga7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lastRenderedPageBreak/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SPBC12C2.02c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ste20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Rictor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homolog, Ste20    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SPAC8E11.02c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rad24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14-3-3 protein Rad24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SPAC3C7.06c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pit1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serine/threonine protein kinase Pit1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SPBC409.07c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wis1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MAP kinase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kinase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Wis1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SPAC1782.09c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clp1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Cdc14-related protein phosphatase Clp1/Flp1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SPBC1685.01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pmp1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dual-specificity MAP kinase phosphatase </w:t>
            </w:r>
          </w:p>
        </w:tc>
      </w:tr>
      <w:tr w:rsidR="009D191A" w:rsidRPr="003C1CE3" w:rsidTr="00847692">
        <w:tc>
          <w:tcPr>
            <w:tcW w:w="8613" w:type="dxa"/>
            <w:gridSpan w:val="5"/>
          </w:tcPr>
          <w:p w:rsidR="009D191A" w:rsidRPr="003C1CE3" w:rsidRDefault="009D191A" w:rsidP="00847692">
            <w:pPr>
              <w:pStyle w:val="2"/>
              <w:rPr>
                <w:rStyle w:val="a7"/>
                <w:b/>
                <w:bCs w:val="0"/>
                <w:sz w:val="20"/>
                <w:shd w:val="clear" w:color="auto" w:fill="FFFFFF"/>
              </w:rPr>
            </w:pPr>
            <w:bookmarkStart w:id="1" w:name="OLE_LINK3"/>
            <w:proofErr w:type="spellStart"/>
            <w:r w:rsidRPr="003C1CE3">
              <w:rPr>
                <w:rFonts w:hint="eastAsia"/>
                <w:b w:val="0"/>
                <w:sz w:val="20"/>
              </w:rPr>
              <w:t>U</w:t>
            </w:r>
            <w:r w:rsidRPr="003C1CE3">
              <w:rPr>
                <w:b w:val="0"/>
                <w:sz w:val="20"/>
              </w:rPr>
              <w:t>biqu</w:t>
            </w:r>
            <w:r w:rsidRPr="003C1CE3">
              <w:rPr>
                <w:rFonts w:hint="eastAsia"/>
                <w:b w:val="0"/>
                <w:sz w:val="20"/>
              </w:rPr>
              <w:t>itina</w:t>
            </w:r>
            <w:r w:rsidRPr="003C1CE3">
              <w:rPr>
                <w:b w:val="0"/>
                <w:sz w:val="20"/>
              </w:rPr>
              <w:t>tion</w:t>
            </w:r>
            <w:bookmarkEnd w:id="1"/>
            <w:proofErr w:type="spellEnd"/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SPBC19C7.02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ubr1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N-end-recognizing protein Ubr1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SPAC19B12.10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sst2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human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amsh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protein homolog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SPBC31F10.10c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mub1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zf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-MYND type zinc finger protein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SPAC30D11.13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hus5/ubc9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SUMO conjugating enzyme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SPAC6B12.07c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>N/A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ubiquitin-protein ligase E3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SPAC31G5.18c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>s</w:t>
            </w: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de2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</w:rPr>
              <w:t>ubiquitin family, human C1ORF55 related/</w:t>
            </w:r>
          </w:p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silencing defective protein Sde2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SPBC215.03c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csn1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COP9/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signalosome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complex subunit Csn1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SPAPB17E12.04c</w:t>
            </w:r>
          </w:p>
        </w:tc>
        <w:tc>
          <w:tcPr>
            <w:tcW w:w="1134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csn2</w:t>
            </w:r>
          </w:p>
        </w:tc>
        <w:tc>
          <w:tcPr>
            <w:tcW w:w="3969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COP9/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signalosome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complex subunit Csn2</w:t>
            </w:r>
          </w:p>
        </w:tc>
      </w:tr>
      <w:tr w:rsidR="009D191A" w:rsidRPr="003C1CE3" w:rsidTr="00847692">
        <w:tc>
          <w:tcPr>
            <w:tcW w:w="8613" w:type="dxa"/>
            <w:gridSpan w:val="5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bookmarkStart w:id="2" w:name="_Hlk289441441"/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>C</w:t>
            </w: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hromatin remodeling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SPBC11B10.10c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pht1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histone H2A variant H2A.Z  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SPBC21C3.02c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dep1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Sds3-like family protein Dep1 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SPAC22E12.11c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set3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histone lysine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methyltransferase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Set3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SPBC800.03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clr3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histone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deacetylase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(class II) Clr3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SPCC576.13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swc5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chromatin remodeling complex subunit Swc5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SPBC14C8.17c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spt8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SAGA complex subunit Spt8</w:t>
            </w:r>
          </w:p>
        </w:tc>
      </w:tr>
      <w:bookmarkEnd w:id="2"/>
      <w:tr w:rsidR="009D191A" w:rsidRPr="003C1CE3" w:rsidTr="00847692">
        <w:tc>
          <w:tcPr>
            <w:tcW w:w="8613" w:type="dxa"/>
            <w:gridSpan w:val="5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>C</w:t>
            </w: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ytokinesis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SPBC83.18c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fic1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C2 domain protein 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SPCP1E11.04c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pal1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membrane associated protein Pal1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SPAC15A10.08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ain1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alpha-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actinin</w:t>
            </w:r>
            <w:proofErr w:type="spellEnd"/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SPAC16E8.01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shd1/sla1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cytoskeletal protein binding protein Sla1 family</w:t>
            </w:r>
          </w:p>
        </w:tc>
      </w:tr>
      <w:tr w:rsidR="009D191A" w:rsidRPr="003C1CE3" w:rsidTr="00847692">
        <w:tc>
          <w:tcPr>
            <w:tcW w:w="8613" w:type="dxa"/>
            <w:gridSpan w:val="5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Ribosomal</w:t>
            </w:r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 xml:space="preserve"> protein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SPAC3F10.16c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lsg1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  <w:r w:rsidRPr="003C1CE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GTP binding protein, HSR1-related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SPAC959.08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rpl2102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60S ribosomal protein L21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SPAC9G1.03c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rpl3001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60S ribosomal protein L30</w:t>
            </w:r>
          </w:p>
        </w:tc>
      </w:tr>
      <w:tr w:rsidR="009D191A" w:rsidRPr="003C1CE3" w:rsidTr="00847692">
        <w:tc>
          <w:tcPr>
            <w:tcW w:w="8613" w:type="dxa"/>
            <w:gridSpan w:val="5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RNA bi</w:t>
            </w:r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>n</w:t>
            </w: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ding</w:t>
            </w:r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 xml:space="preserve"> protein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SPCC550.14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vgl1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vigilin</w:t>
            </w:r>
            <w:proofErr w:type="spellEnd"/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lastRenderedPageBreak/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SPCC74.09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mug24</w:t>
            </w:r>
            <w:r w:rsidRPr="003C1CE3">
              <w:rPr>
                <w:rFonts w:ascii="Times New Roman" w:hAnsi="Times New Roman"/>
                <w:kern w:val="0"/>
                <w:sz w:val="24"/>
              </w:rPr>
              <w:t>*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RNA-binding protein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SPCC757.09c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rnc1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RNA-binding protein that suppresses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calcineurin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deletion Rnc1</w:t>
            </w:r>
          </w:p>
        </w:tc>
      </w:tr>
      <w:tr w:rsidR="009D191A" w:rsidRPr="003C1CE3" w:rsidTr="00847692">
        <w:tc>
          <w:tcPr>
            <w:tcW w:w="8613" w:type="dxa"/>
            <w:gridSpan w:val="5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Variety of other known functions 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SPAPB1E7.02c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mcl1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DNA polymerase alpha accessory factor Mcl1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SPBC106.07c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nat2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N alpha-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acetyltransferase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Nat2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SPBC365.14c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uge1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UDP-glucose 4-epimerase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SPAC513.03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mfm2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M-factor precursor Mfm2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SPAC17A5.14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exo2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exonuclease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II Exo2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SPBC14F5.13c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pho8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alkaline phosphatase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SPAC17G8.05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med20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TATA-box related factor (TRF)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SPAC9G1.04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oxa101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mitochondrial inner membrane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translocase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bookmarkStart w:id="3" w:name="OLE_LINK18"/>
            <w:bookmarkStart w:id="4" w:name="OLE_LINK19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SPCC736.07c</w:t>
            </w:r>
            <w:bookmarkEnd w:id="3"/>
            <w:bookmarkEnd w:id="4"/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bud27/uri1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cell polarity protein/unconventional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prefoldin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involved in translation initiation (predicted)    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SPAC23H3.03c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npr2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nitrogen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permease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regulator family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SPAC8F11.02c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dph3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diphthamide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biosynthesis protein Dph3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SPBC29A10.16c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cyb5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cytochrome b5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SPBPB10D8.04c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ssu1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membrane transporter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SPBC3H7.09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mug142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palmitoyltransferase</w:t>
            </w:r>
            <w:proofErr w:type="spellEnd"/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SPBC16H5.06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rip1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ubiquinol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-cytochrome-c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reductase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complex subunit 5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SPAC26H5.05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mga2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IPT/TIG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ankyrin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repeat containing transcription regulator of fatty acid biosynthesis (predicted)  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SPBC1709.09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rrf1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mitochondrial translation termination factor</w:t>
            </w:r>
          </w:p>
        </w:tc>
      </w:tr>
      <w:tr w:rsidR="009D191A" w:rsidRPr="003C1CE3" w:rsidTr="00847692">
        <w:tc>
          <w:tcPr>
            <w:tcW w:w="8613" w:type="dxa"/>
            <w:gridSpan w:val="5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Unknown functions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SPAC11G7.06c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mug132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</w:rPr>
              <w:t xml:space="preserve">S. </w:t>
            </w:r>
            <w:proofErr w:type="spellStart"/>
            <w:r w:rsidRPr="003C1CE3">
              <w:rPr>
                <w:rStyle w:val="a7"/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</w:rPr>
              <w:t>pombe</w:t>
            </w:r>
            <w:proofErr w:type="spellEnd"/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specific UPF0300 family protein 3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SPCC613.03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ssp120</w:t>
            </w:r>
            <w:r w:rsidRPr="003C1CE3">
              <w:rPr>
                <w:rStyle w:val="a7"/>
                <w:rFonts w:ascii="Times New Roman" w:hint="eastAsia"/>
                <w:b w:val="0"/>
                <w:bCs w:val="0"/>
                <w:sz w:val="20"/>
                <w:szCs w:val="20"/>
                <w:shd w:val="clear" w:color="auto" w:fill="FFFFFF"/>
                <w:vertAlign w:val="superscript"/>
              </w:rPr>
              <w:t>①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conserved fungal protein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SPAC3F10.05c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mug113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DUF1766 family protein 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SPCC594.02c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 w:hint="eastAsia"/>
                <w:b w:val="0"/>
                <w:bCs w:val="0"/>
                <w:sz w:val="20"/>
                <w:szCs w:val="20"/>
                <w:shd w:val="clear" w:color="auto" w:fill="FFFFFF"/>
              </w:rPr>
              <w:t>N/A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conserved fungal protein</w:t>
            </w:r>
          </w:p>
        </w:tc>
      </w:tr>
      <w:tr w:rsidR="009D191A" w:rsidRPr="003C1CE3" w:rsidTr="00080773">
        <w:tc>
          <w:tcPr>
            <w:tcW w:w="1809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+</w:t>
            </w:r>
          </w:p>
        </w:tc>
        <w:tc>
          <w:tcPr>
            <w:tcW w:w="1701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SPAC16E8.05c</w:t>
            </w:r>
          </w:p>
        </w:tc>
        <w:tc>
          <w:tcPr>
            <w:tcW w:w="1168" w:type="dxa"/>
            <w:gridSpan w:val="2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mde1</w:t>
            </w:r>
          </w:p>
        </w:tc>
        <w:tc>
          <w:tcPr>
            <w:tcW w:w="3935" w:type="dxa"/>
          </w:tcPr>
          <w:p w:rsidR="009D191A" w:rsidRPr="003C1CE3" w:rsidRDefault="009D191A" w:rsidP="00847692">
            <w:pPr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3C1CE3">
              <w:rPr>
                <w:rStyle w:val="a7"/>
                <w:rFonts w:ascii="Times New Roman" w:hAnsi="Times New Roman"/>
                <w:b w:val="0"/>
                <w:bCs w:val="0"/>
                <w:sz w:val="20"/>
                <w:szCs w:val="20"/>
                <w:shd w:val="clear" w:color="auto" w:fill="FFFFFF"/>
              </w:rPr>
              <w:t>sequence orphan</w:t>
            </w:r>
          </w:p>
        </w:tc>
      </w:tr>
    </w:tbl>
    <w:p w:rsidR="009D191A" w:rsidRPr="003C1CE3" w:rsidRDefault="009D191A" w:rsidP="009D191A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+++ indicates that the cells completely failed to grow on YPDA plus FK506 plates. </w:t>
      </w:r>
    </w:p>
    <w:p w:rsidR="009D191A" w:rsidRPr="003C1CE3" w:rsidRDefault="009D191A" w:rsidP="009D191A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>++ indicates that tiny colonies were observed to grow on YPDA plus FK506 plates.</w:t>
      </w:r>
    </w:p>
    <w:p w:rsidR="009D191A" w:rsidRPr="003C1CE3" w:rsidRDefault="009D191A" w:rsidP="009D191A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+ indicates that colonies were observed on YPDA plus FK506 plates, however, the size of the </w:t>
      </w:r>
      <w:r w:rsidRPr="003C1CE3">
        <w:rPr>
          <w:rFonts w:ascii="Times New Roman" w:hAnsi="Times New Roman"/>
          <w:sz w:val="20"/>
          <w:szCs w:val="20"/>
        </w:rPr>
        <w:t>colon</w:t>
      </w:r>
      <w:r w:rsidRPr="003C1CE3">
        <w:rPr>
          <w:rFonts w:ascii="Times New Roman" w:hAnsi="Times New Roman" w:hint="eastAsia"/>
          <w:sz w:val="20"/>
          <w:szCs w:val="20"/>
        </w:rPr>
        <w:t>ies</w:t>
      </w:r>
      <w:r w:rsidRPr="003C1CE3">
        <w:rPr>
          <w:rFonts w:ascii="Times New Roman" w:hAnsi="Times New Roman"/>
          <w:sz w:val="20"/>
          <w:szCs w:val="20"/>
        </w:rPr>
        <w:t xml:space="preserve"> </w:t>
      </w:r>
      <w:r w:rsidRPr="003C1CE3">
        <w:rPr>
          <w:rFonts w:ascii="Times New Roman" w:hAnsi="Times New Roman" w:hint="eastAsia"/>
          <w:sz w:val="20"/>
          <w:szCs w:val="20"/>
        </w:rPr>
        <w:t>were</w: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 significantly smaller than that of the wild-type cells.</w:t>
      </w:r>
    </w:p>
    <w:p w:rsidR="009D191A" w:rsidRPr="003C1CE3" w:rsidRDefault="000F2E8B" w:rsidP="009D191A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lastRenderedPageBreak/>
        <w:fldChar w:fldCharType="begin"/>
      </w:r>
      <w:r w:rsidR="009D191A"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instrText xml:space="preserve"> </w:instrText>
      </w:r>
      <w:r w:rsidR="009D191A"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instrText>eq \o\ac(</w:instrText>
      </w:r>
      <w:r w:rsidR="009D191A"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instrText>○</w:instrText>
      </w:r>
      <w:r w:rsidR="009D191A"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instrText>,</w:instrText>
      </w:r>
      <w:r w:rsidR="009D191A" w:rsidRPr="003C1CE3">
        <w:rPr>
          <w:rStyle w:val="a7"/>
          <w:rFonts w:ascii="Times New Roman" w:hAnsi="Times New Roman" w:hint="eastAsia"/>
          <w:b w:val="0"/>
          <w:bCs w:val="0"/>
          <w:position w:val="2"/>
          <w:sz w:val="14"/>
          <w:szCs w:val="20"/>
          <w:shd w:val="clear" w:color="auto" w:fill="FFFFFF"/>
        </w:rPr>
        <w:instrText>1</w:instrText>
      </w:r>
      <w:r w:rsidR="009D191A"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instrText>)</w:instrTex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fldChar w:fldCharType="end"/>
      </w:r>
      <w:r w:rsidR="009D191A"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t xml:space="preserve"> </w:t>
      </w:r>
      <w:r w:rsidR="009D191A"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indicates that the naming of genes is after the </w:t>
      </w:r>
      <w:r w:rsidR="009D191A" w:rsidRPr="003C1CE3">
        <w:rPr>
          <w:rStyle w:val="a7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 xml:space="preserve">S. </w:t>
      </w:r>
      <w:proofErr w:type="spellStart"/>
      <w:r w:rsidR="009D191A" w:rsidRPr="003C1CE3">
        <w:rPr>
          <w:rStyle w:val="a7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>cerevisiae</w:t>
      </w:r>
      <w:proofErr w:type="spellEnd"/>
      <w:r w:rsidR="009D191A" w:rsidRPr="003C1CE3">
        <w:rPr>
          <w:rStyle w:val="a7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 xml:space="preserve"> </w:t>
      </w:r>
      <w:r w:rsidR="009D191A"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counterparts as the common name in </w:t>
      </w:r>
      <w:r w:rsidR="009D191A" w:rsidRPr="003C1CE3">
        <w:rPr>
          <w:rStyle w:val="a7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 xml:space="preserve">S. </w:t>
      </w:r>
      <w:proofErr w:type="spellStart"/>
      <w:r w:rsidR="009D191A" w:rsidRPr="003C1CE3">
        <w:rPr>
          <w:rStyle w:val="a7"/>
          <w:rFonts w:ascii="Times New Roman" w:hAnsi="Times New Roman"/>
          <w:b w:val="0"/>
          <w:bCs w:val="0"/>
          <w:i/>
          <w:sz w:val="20"/>
          <w:szCs w:val="20"/>
          <w:shd w:val="clear" w:color="auto" w:fill="FFFFFF"/>
        </w:rPr>
        <w:t>pombe</w:t>
      </w:r>
      <w:proofErr w:type="spellEnd"/>
      <w:r w:rsidR="009D191A"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 is not available.</w:t>
      </w:r>
    </w:p>
    <w:p w:rsidR="009D191A" w:rsidRPr="003C1CE3" w:rsidRDefault="009D191A" w:rsidP="009D191A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t xml:space="preserve">N/A indicates that </w: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common gene name </w:t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t xml:space="preserve">is not </w: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>applicable</w:t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t>.</w:t>
      </w:r>
    </w:p>
    <w:p w:rsidR="009D191A" w:rsidRPr="003C1CE3" w:rsidRDefault="009D191A" w:rsidP="009D191A">
      <w:pPr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</w:pPr>
      <w:r w:rsidRPr="003C1CE3">
        <w:rPr>
          <w:rFonts w:ascii="Times New Roman" w:hAnsi="Times New Roman"/>
          <w:kern w:val="0"/>
          <w:sz w:val="24"/>
        </w:rPr>
        <w:t>*</w:t>
      </w:r>
      <w:r w:rsidRPr="003C1CE3">
        <w:rPr>
          <w:rStyle w:val="a7"/>
          <w:rFonts w:ascii="Times New Roman" w:hAnsi="Times New Roman"/>
          <w:b w:val="0"/>
          <w:bCs w:val="0"/>
          <w:sz w:val="20"/>
          <w:szCs w:val="20"/>
          <w:shd w:val="clear" w:color="auto" w:fill="FFFFFF"/>
        </w:rPr>
        <w:t xml:space="preserve"> indicates </w:t>
      </w:r>
      <w:r w:rsidRPr="003C1CE3">
        <w:rPr>
          <w:rStyle w:val="a7"/>
          <w:rFonts w:ascii="Times New Roman" w:hAnsi="Times New Roman" w:hint="eastAsia"/>
          <w:b w:val="0"/>
          <w:bCs w:val="0"/>
          <w:sz w:val="20"/>
          <w:szCs w:val="20"/>
          <w:shd w:val="clear" w:color="auto" w:fill="FFFFFF"/>
        </w:rPr>
        <w:t>poor growth on YPDA plates.</w:t>
      </w:r>
    </w:p>
    <w:p w:rsidR="00403347" w:rsidRPr="009D191A" w:rsidRDefault="00403347"/>
    <w:sectPr w:rsidR="00403347" w:rsidRPr="009D191A" w:rsidSect="004033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D2" w:rsidRDefault="002558D2" w:rsidP="009D191A">
      <w:r>
        <w:separator/>
      </w:r>
    </w:p>
  </w:endnote>
  <w:endnote w:type="continuationSeparator" w:id="0">
    <w:p w:rsidR="002558D2" w:rsidRDefault="002558D2" w:rsidP="009D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D2" w:rsidRDefault="002558D2" w:rsidP="009D191A">
      <w:r>
        <w:separator/>
      </w:r>
    </w:p>
  </w:footnote>
  <w:footnote w:type="continuationSeparator" w:id="0">
    <w:p w:rsidR="002558D2" w:rsidRDefault="002558D2" w:rsidP="009D1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1A"/>
    <w:rsid w:val="00080773"/>
    <w:rsid w:val="000F2E8B"/>
    <w:rsid w:val="00194EDB"/>
    <w:rsid w:val="002558D2"/>
    <w:rsid w:val="00403347"/>
    <w:rsid w:val="0047027E"/>
    <w:rsid w:val="00592B70"/>
    <w:rsid w:val="007974D6"/>
    <w:rsid w:val="007F7AAD"/>
    <w:rsid w:val="009D191A"/>
    <w:rsid w:val="00A33FDE"/>
    <w:rsid w:val="00E9194E"/>
    <w:rsid w:val="00EC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ＭＳ ゴシック"/>
        <w:sz w:val="16"/>
        <w:szCs w:val="16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1A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191A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 w:cs="ＭＳ ゴシック"/>
      <w:kern w:val="0"/>
      <w:sz w:val="16"/>
      <w:szCs w:val="16"/>
    </w:rPr>
  </w:style>
  <w:style w:type="character" w:customStyle="1" w:styleId="a4">
    <w:name w:val="ヘッダー (文字)"/>
    <w:basedOn w:val="a0"/>
    <w:link w:val="a3"/>
    <w:uiPriority w:val="99"/>
    <w:semiHidden/>
    <w:rsid w:val="009D191A"/>
  </w:style>
  <w:style w:type="paragraph" w:styleId="a5">
    <w:name w:val="footer"/>
    <w:basedOn w:val="a"/>
    <w:link w:val="a6"/>
    <w:uiPriority w:val="99"/>
    <w:semiHidden/>
    <w:unhideWhenUsed/>
    <w:rsid w:val="009D191A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 w:cs="ＭＳ ゴシック"/>
      <w:kern w:val="0"/>
      <w:sz w:val="16"/>
      <w:szCs w:val="16"/>
    </w:rPr>
  </w:style>
  <w:style w:type="character" w:customStyle="1" w:styleId="a6">
    <w:name w:val="フッター (文字)"/>
    <w:basedOn w:val="a0"/>
    <w:link w:val="a5"/>
    <w:uiPriority w:val="99"/>
    <w:semiHidden/>
    <w:rsid w:val="009D191A"/>
  </w:style>
  <w:style w:type="character" w:styleId="a7">
    <w:name w:val="Strong"/>
    <w:basedOn w:val="a0"/>
    <w:qFormat/>
    <w:rsid w:val="009D191A"/>
    <w:rPr>
      <w:b/>
      <w:bCs/>
    </w:rPr>
  </w:style>
  <w:style w:type="paragraph" w:styleId="2">
    <w:name w:val="Body Text 2"/>
    <w:basedOn w:val="a"/>
    <w:link w:val="20"/>
    <w:semiHidden/>
    <w:rsid w:val="009D191A"/>
    <w:rPr>
      <w:rFonts w:ascii="Times New Roman" w:hAnsi="Times New Roman"/>
      <w:b/>
      <w:sz w:val="26"/>
      <w:szCs w:val="20"/>
    </w:rPr>
  </w:style>
  <w:style w:type="character" w:customStyle="1" w:styleId="20">
    <w:name w:val="本文 2 (文字)"/>
    <w:basedOn w:val="a0"/>
    <w:link w:val="2"/>
    <w:semiHidden/>
    <w:rsid w:val="009D191A"/>
    <w:rPr>
      <w:rFonts w:ascii="Times New Roman" w:eastAsia="ＭＳ 明朝" w:hAnsi="Times New Roman" w:cs="Times New Roman"/>
      <w:b/>
      <w:kern w:val="2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ＭＳ ゴシック"/>
        <w:sz w:val="16"/>
        <w:szCs w:val="16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1A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191A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 w:cs="ＭＳ ゴシック"/>
      <w:kern w:val="0"/>
      <w:sz w:val="16"/>
      <w:szCs w:val="16"/>
    </w:rPr>
  </w:style>
  <w:style w:type="character" w:customStyle="1" w:styleId="a4">
    <w:name w:val="ヘッダー (文字)"/>
    <w:basedOn w:val="a0"/>
    <w:link w:val="a3"/>
    <w:uiPriority w:val="99"/>
    <w:semiHidden/>
    <w:rsid w:val="009D191A"/>
  </w:style>
  <w:style w:type="paragraph" w:styleId="a5">
    <w:name w:val="footer"/>
    <w:basedOn w:val="a"/>
    <w:link w:val="a6"/>
    <w:uiPriority w:val="99"/>
    <w:semiHidden/>
    <w:unhideWhenUsed/>
    <w:rsid w:val="009D191A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 w:cs="ＭＳ ゴシック"/>
      <w:kern w:val="0"/>
      <w:sz w:val="16"/>
      <w:szCs w:val="16"/>
    </w:rPr>
  </w:style>
  <w:style w:type="character" w:customStyle="1" w:styleId="a6">
    <w:name w:val="フッター (文字)"/>
    <w:basedOn w:val="a0"/>
    <w:link w:val="a5"/>
    <w:uiPriority w:val="99"/>
    <w:semiHidden/>
    <w:rsid w:val="009D191A"/>
  </w:style>
  <w:style w:type="character" w:styleId="a7">
    <w:name w:val="Strong"/>
    <w:basedOn w:val="a0"/>
    <w:qFormat/>
    <w:rsid w:val="009D191A"/>
    <w:rPr>
      <w:b/>
      <w:bCs/>
    </w:rPr>
  </w:style>
  <w:style w:type="paragraph" w:styleId="2">
    <w:name w:val="Body Text 2"/>
    <w:basedOn w:val="a"/>
    <w:link w:val="20"/>
    <w:semiHidden/>
    <w:rsid w:val="009D191A"/>
    <w:rPr>
      <w:rFonts w:ascii="Times New Roman" w:hAnsi="Times New Roman"/>
      <w:b/>
      <w:sz w:val="26"/>
      <w:szCs w:val="20"/>
    </w:rPr>
  </w:style>
  <w:style w:type="character" w:customStyle="1" w:styleId="20">
    <w:name w:val="本文 2 (文字)"/>
    <w:basedOn w:val="a0"/>
    <w:link w:val="2"/>
    <w:semiHidden/>
    <w:rsid w:val="009D191A"/>
    <w:rPr>
      <w:rFonts w:ascii="Times New Roman" w:eastAsia="ＭＳ 明朝" w:hAnsi="Times New Roman" w:cs="Times New Roman"/>
      <w:b/>
      <w:kern w:val="2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mayan</dc:creator>
  <cp:lastModifiedBy>薬理</cp:lastModifiedBy>
  <cp:revision>3</cp:revision>
  <dcterms:created xsi:type="dcterms:W3CDTF">2013-09-03T08:23:00Z</dcterms:created>
  <dcterms:modified xsi:type="dcterms:W3CDTF">2013-09-03T08:23:00Z</dcterms:modified>
</cp:coreProperties>
</file>